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E247" w14:textId="77777777" w:rsidR="00B76FD9" w:rsidRPr="00E507AF" w:rsidRDefault="00E507AF" w:rsidP="00776153">
      <w:pPr>
        <w:pStyle w:val="a3"/>
        <w:jc w:val="center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509CC484" w14:textId="77777777" w:rsidR="00B76FD9" w:rsidRPr="00E507AF" w:rsidRDefault="00E507AF" w:rsidP="00776153">
      <w:pPr>
        <w:pStyle w:val="a3"/>
        <w:jc w:val="center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257D9A" w14:paraId="1114A5AA" w14:textId="77777777" w:rsidTr="00776153">
        <w:trPr>
          <w:trHeight w:val="20"/>
        </w:trPr>
        <w:tc>
          <w:tcPr>
            <w:tcW w:w="5000" w:type="pct"/>
            <w:gridSpan w:val="7"/>
          </w:tcPr>
          <w:p w14:paraId="292BD199" w14:textId="77777777" w:rsidR="00B76FD9" w:rsidRDefault="00E507AF" w:rsidP="007761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257D9A" w:rsidRPr="00E507AF" w14:paraId="13D369C4" w14:textId="77777777" w:rsidTr="00776153">
        <w:trPr>
          <w:trHeight w:val="20"/>
        </w:trPr>
        <w:tc>
          <w:tcPr>
            <w:tcW w:w="2206" w:type="pct"/>
            <w:gridSpan w:val="4"/>
          </w:tcPr>
          <w:p w14:paraId="60241E62" w14:textId="77777777" w:rsidR="00B76FD9" w:rsidRPr="00E507AF" w:rsidRDefault="00E507AF" w:rsidP="00776153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64AE7535" w14:textId="77777777" w:rsidR="00B76FD9" w:rsidRPr="00E507AF" w:rsidRDefault="00E507AF" w:rsidP="00776153">
            <w:pPr>
              <w:pStyle w:val="TableParagraph"/>
              <w:tabs>
                <w:tab w:val="left" w:pos="2083"/>
                <w:tab w:val="left" w:pos="4193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257D9A" w:rsidRPr="00E507AF" w14:paraId="3E94885D" w14:textId="77777777" w:rsidTr="00776153">
        <w:trPr>
          <w:trHeight w:val="20"/>
        </w:trPr>
        <w:tc>
          <w:tcPr>
            <w:tcW w:w="2206" w:type="pct"/>
            <w:gridSpan w:val="4"/>
          </w:tcPr>
          <w:p w14:paraId="308D532E" w14:textId="77777777" w:rsidR="00B76FD9" w:rsidRPr="00E507AF" w:rsidRDefault="00E507AF" w:rsidP="00776153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38BCD06C" w14:textId="77777777" w:rsidR="00B76FD9" w:rsidRPr="00E507AF" w:rsidRDefault="00E507AF" w:rsidP="0077615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257D9A" w:rsidRPr="00E507AF" w14:paraId="55DA33C1" w14:textId="77777777" w:rsidTr="00776153">
        <w:trPr>
          <w:trHeight w:val="20"/>
        </w:trPr>
        <w:tc>
          <w:tcPr>
            <w:tcW w:w="2206" w:type="pct"/>
            <w:gridSpan w:val="4"/>
          </w:tcPr>
          <w:p w14:paraId="63403C69" w14:textId="77777777" w:rsidR="00B76FD9" w:rsidRDefault="00E507AF" w:rsidP="007761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325A862D" w14:textId="77777777" w:rsidR="00B76FD9" w:rsidRPr="00E507AF" w:rsidRDefault="00E507AF" w:rsidP="0077615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257D9A" w14:paraId="788108A7" w14:textId="77777777" w:rsidTr="00776153">
        <w:trPr>
          <w:trHeight w:val="20"/>
        </w:trPr>
        <w:tc>
          <w:tcPr>
            <w:tcW w:w="2206" w:type="pct"/>
            <w:gridSpan w:val="4"/>
          </w:tcPr>
          <w:p w14:paraId="2F0050ED" w14:textId="77777777" w:rsidR="00B76FD9" w:rsidRDefault="00E507AF" w:rsidP="007761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3A2D5775" w14:textId="77777777" w:rsidR="00B76FD9" w:rsidRDefault="00E507AF" w:rsidP="0077615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257D9A" w14:paraId="582D1CCE" w14:textId="77777777" w:rsidTr="00776153">
        <w:trPr>
          <w:trHeight w:val="20"/>
        </w:trPr>
        <w:tc>
          <w:tcPr>
            <w:tcW w:w="2206" w:type="pct"/>
            <w:gridSpan w:val="4"/>
          </w:tcPr>
          <w:p w14:paraId="0935F71E" w14:textId="77777777" w:rsidR="00B76FD9" w:rsidRDefault="00E507AF" w:rsidP="007761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7655E488" w14:textId="77777777" w:rsidR="00B76FD9" w:rsidRDefault="00E507AF" w:rsidP="0077615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257D9A" w14:paraId="1CD97489" w14:textId="77777777" w:rsidTr="00776153">
        <w:trPr>
          <w:trHeight w:val="20"/>
        </w:trPr>
        <w:tc>
          <w:tcPr>
            <w:tcW w:w="2206" w:type="pct"/>
            <w:gridSpan w:val="4"/>
          </w:tcPr>
          <w:p w14:paraId="55B6FE26" w14:textId="77777777" w:rsidR="00B76FD9" w:rsidRPr="00E507AF" w:rsidRDefault="00E507AF" w:rsidP="00776153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6840E68C" w14:textId="77777777" w:rsidR="00B76FD9" w:rsidRDefault="00E507AF" w:rsidP="0077615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257D9A" w14:paraId="45EC21A8" w14:textId="77777777" w:rsidTr="00776153">
        <w:trPr>
          <w:trHeight w:val="20"/>
        </w:trPr>
        <w:tc>
          <w:tcPr>
            <w:tcW w:w="2206" w:type="pct"/>
            <w:gridSpan w:val="4"/>
          </w:tcPr>
          <w:p w14:paraId="5D585FEB" w14:textId="77777777" w:rsidR="00B76FD9" w:rsidRPr="00E507AF" w:rsidRDefault="00E507AF" w:rsidP="00776153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2264A466" w14:textId="77777777" w:rsidR="00776153" w:rsidRDefault="00E507AF" w:rsidP="00776153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hyperlink r:id="rId7" w:history="1">
              <w:r w:rsidRPr="00776153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E507AF">
                <w:rPr>
                  <w:b/>
                  <w:sz w:val="24"/>
                  <w:u w:val="single"/>
                </w:rPr>
                <w:t>://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E507AF">
                <w:rPr>
                  <w:b/>
                  <w:sz w:val="24"/>
                  <w:u w:val="single"/>
                </w:rPr>
                <w:t>.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mrsk</w:t>
              </w:r>
              <w:r w:rsidRPr="00E507AF">
                <w:rPr>
                  <w:b/>
                  <w:sz w:val="24"/>
                  <w:u w:val="single"/>
                </w:rPr>
                <w:t>-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yuga</w:t>
              </w:r>
              <w:r w:rsidRPr="00E507AF">
                <w:rPr>
                  <w:b/>
                  <w:sz w:val="24"/>
                  <w:u w:val="single"/>
                </w:rPr>
                <w:t>.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ru</w:t>
              </w:r>
            </w:hyperlink>
          </w:p>
          <w:p w14:paraId="0A03915C" w14:textId="77777777" w:rsidR="00B76FD9" w:rsidRPr="00776153" w:rsidRDefault="00E507AF" w:rsidP="00776153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 w:rsidRPr="00776153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E507AF">
                <w:rPr>
                  <w:b/>
                  <w:sz w:val="24"/>
                  <w:u w:val="single"/>
                </w:rPr>
                <w:t>://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E507AF">
                <w:rPr>
                  <w:b/>
                  <w:sz w:val="24"/>
                  <w:u w:val="single"/>
                </w:rPr>
                <w:t>.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e</w:t>
              </w:r>
              <w:r w:rsidRPr="00E507AF">
                <w:rPr>
                  <w:b/>
                  <w:sz w:val="24"/>
                  <w:u w:val="single"/>
                </w:rPr>
                <w:t>-</w:t>
              </w:r>
            </w:hyperlink>
            <w:hyperlink r:id="rId9" w:history="1">
              <w:r w:rsidRPr="00776153">
                <w:rPr>
                  <w:b/>
                  <w:sz w:val="24"/>
                  <w:u w:val="single"/>
                  <w:lang w:val="en-US"/>
                </w:rPr>
                <w:t>disclosure</w:t>
              </w:r>
              <w:r w:rsidRPr="00E507AF">
                <w:rPr>
                  <w:b/>
                  <w:sz w:val="24"/>
                  <w:u w:val="single"/>
                </w:rPr>
                <w:t>.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ru</w:t>
              </w:r>
              <w:r w:rsidRPr="00E507AF">
                <w:rPr>
                  <w:b/>
                  <w:sz w:val="24"/>
                  <w:u w:val="single"/>
                </w:rPr>
                <w:t>/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portal</w:t>
              </w:r>
              <w:r w:rsidRPr="00E507AF">
                <w:rPr>
                  <w:b/>
                  <w:sz w:val="24"/>
                  <w:u w:val="single"/>
                </w:rPr>
                <w:t>/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company</w:t>
              </w:r>
              <w:r w:rsidRPr="00E507AF">
                <w:rPr>
                  <w:b/>
                  <w:sz w:val="24"/>
                  <w:u w:val="single"/>
                </w:rPr>
                <w:t>.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aspx</w:t>
              </w:r>
              <w:r w:rsidRPr="00E507AF">
                <w:rPr>
                  <w:b/>
                  <w:sz w:val="24"/>
                  <w:u w:val="single"/>
                </w:rPr>
                <w:t>?</w:t>
              </w:r>
              <w:r w:rsidRPr="00776153">
                <w:rPr>
                  <w:b/>
                  <w:sz w:val="24"/>
                  <w:u w:val="single"/>
                  <w:lang w:val="en-US"/>
                </w:rPr>
                <w:t>id</w:t>
              </w:r>
              <w:r w:rsidRPr="00E507AF">
                <w:rPr>
                  <w:b/>
                  <w:sz w:val="24"/>
                  <w:u w:val="single"/>
                </w:rPr>
                <w:t>=11999</w:t>
              </w:r>
            </w:hyperlink>
          </w:p>
        </w:tc>
      </w:tr>
      <w:tr w:rsidR="00257D9A" w14:paraId="1A4D46CA" w14:textId="77777777" w:rsidTr="00776153">
        <w:trPr>
          <w:trHeight w:val="20"/>
        </w:trPr>
        <w:tc>
          <w:tcPr>
            <w:tcW w:w="2206" w:type="pct"/>
            <w:gridSpan w:val="4"/>
          </w:tcPr>
          <w:p w14:paraId="0ED3FC75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</w:t>
            </w:r>
            <w:r>
              <w:rPr>
                <w:sz w:val="24"/>
                <w:lang w:val="en-US"/>
              </w:rPr>
              <w:t>aterial fact) of which the 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7588C07C" w14:textId="77777777" w:rsidR="00B76FD9" w:rsidRDefault="00E507AF" w:rsidP="0077615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August 26, 2019</w:t>
            </w:r>
          </w:p>
        </w:tc>
      </w:tr>
      <w:tr w:rsidR="00257D9A" w14:paraId="4C2CA6F7" w14:textId="77777777" w:rsidTr="00776153">
        <w:trPr>
          <w:trHeight w:val="20"/>
        </w:trPr>
        <w:tc>
          <w:tcPr>
            <w:tcW w:w="5000" w:type="pct"/>
            <w:gridSpan w:val="7"/>
          </w:tcPr>
          <w:p w14:paraId="21A18309" w14:textId="77777777" w:rsidR="00B76FD9" w:rsidRDefault="00E507AF" w:rsidP="007761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257D9A" w14:paraId="383862F4" w14:textId="77777777" w:rsidTr="00776153">
        <w:trPr>
          <w:trHeight w:val="20"/>
        </w:trPr>
        <w:tc>
          <w:tcPr>
            <w:tcW w:w="5000" w:type="pct"/>
            <w:gridSpan w:val="7"/>
          </w:tcPr>
          <w:p w14:paraId="680E427F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0619EA24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b/>
                <w:lang w:val="en-US"/>
              </w:rPr>
            </w:pPr>
          </w:p>
          <w:p w14:paraId="2B381F0D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</w:t>
            </w:r>
          </w:p>
          <w:p w14:paraId="230C0380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1EEF0DCF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53F17C8A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0 vote.</w:t>
            </w:r>
          </w:p>
          <w:p w14:paraId="724398C4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</w:p>
          <w:p w14:paraId="264880DB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2</w:t>
            </w:r>
            <w:r>
              <w:rPr>
                <w:sz w:val="24"/>
                <w:lang w:val="en-US"/>
              </w:rPr>
              <w:t xml:space="preserve"> of the agenda:</w:t>
            </w:r>
          </w:p>
          <w:p w14:paraId="46840988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14:paraId="526E742E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726BF761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vote.</w:t>
            </w:r>
          </w:p>
          <w:p w14:paraId="32FE28F1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</w:p>
          <w:p w14:paraId="5B75842F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3</w:t>
            </w:r>
            <w:r>
              <w:rPr>
                <w:sz w:val="24"/>
                <w:lang w:val="en-US"/>
              </w:rPr>
              <w:t xml:space="preserve"> of the agenda:</w:t>
            </w:r>
          </w:p>
          <w:p w14:paraId="465CE8B9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7558DF64" w14:textId="77777777" w:rsidR="00B76FD9" w:rsidRPr="00E507AF" w:rsidRDefault="00E507AF" w:rsidP="0077615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</w:t>
            </w:r>
            <w:r>
              <w:rPr>
                <w:sz w:val="24"/>
                <w:lang w:val="en-US"/>
              </w:rPr>
              <w:t>tes;</w:t>
            </w:r>
          </w:p>
          <w:p w14:paraId="6D7EE587" w14:textId="77777777" w:rsidR="00B76FD9" w:rsidRDefault="00E507AF" w:rsidP="0077615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0 votes.</w:t>
            </w:r>
          </w:p>
        </w:tc>
      </w:tr>
      <w:tr w:rsidR="00257D9A" w:rsidRPr="00E507AF" w14:paraId="35F4A2C5" w14:textId="77777777" w:rsidTr="00776153">
        <w:trPr>
          <w:trHeight w:val="20"/>
        </w:trPr>
        <w:tc>
          <w:tcPr>
            <w:tcW w:w="5000" w:type="pct"/>
            <w:gridSpan w:val="7"/>
          </w:tcPr>
          <w:p w14:paraId="66390EAB" w14:textId="77777777" w:rsidR="00B76FD9" w:rsidRPr="00E507AF" w:rsidRDefault="00E507AF" w:rsidP="00776153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On execution of the business plan of IDGC of the South, PJSC for Q1 2019.</w:t>
            </w:r>
          </w:p>
        </w:tc>
      </w:tr>
      <w:tr w:rsidR="00257D9A" w:rsidRPr="00E507AF" w14:paraId="53CFDE69" w14:textId="77777777" w:rsidTr="00776153">
        <w:trPr>
          <w:trHeight w:val="20"/>
        </w:trPr>
        <w:tc>
          <w:tcPr>
            <w:tcW w:w="5000" w:type="pct"/>
            <w:gridSpan w:val="7"/>
          </w:tcPr>
          <w:p w14:paraId="05152195" w14:textId="77777777" w:rsidR="00776153" w:rsidRPr="00E507AF" w:rsidRDefault="00E507AF" w:rsidP="00776153">
            <w:pPr>
              <w:pStyle w:val="TableParagraph"/>
              <w:numPr>
                <w:ilvl w:val="2"/>
                <w:numId w:val="3"/>
              </w:numPr>
              <w:tabs>
                <w:tab w:val="left" w:pos="1157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Resolution content adopted by the Issuer's Board of Directors:</w:t>
            </w:r>
          </w:p>
          <w:p w14:paraId="16B60595" w14:textId="77777777" w:rsidR="00776153" w:rsidRPr="00E507AF" w:rsidRDefault="00E507AF" w:rsidP="00776153">
            <w:pPr>
              <w:pStyle w:val="TableParagraph"/>
              <w:numPr>
                <w:ilvl w:val="3"/>
                <w:numId w:val="3"/>
              </w:numPr>
              <w:tabs>
                <w:tab w:val="left" w:pos="99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Take into consideration the report on </w:t>
            </w:r>
            <w:r>
              <w:rPr>
                <w:sz w:val="24"/>
                <w:lang w:val="en-US"/>
              </w:rPr>
              <w:t>execution of the business plan of IDGC of the South, PJSC for the Q1 2019 according to Annex No. 1 to this resolution of the Company's Board of Directors.</w:t>
            </w:r>
          </w:p>
          <w:p w14:paraId="6000DE4C" w14:textId="77777777" w:rsidR="00776153" w:rsidRPr="00E507AF" w:rsidRDefault="00E507AF" w:rsidP="00776153">
            <w:pPr>
              <w:pStyle w:val="TableParagraph"/>
              <w:numPr>
                <w:ilvl w:val="3"/>
                <w:numId w:val="3"/>
              </w:numPr>
              <w:tabs>
                <w:tab w:val="left" w:pos="99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 the information on deviations from the level of electric power losses provided for in the busine</w:t>
            </w:r>
            <w:r>
              <w:rPr>
                <w:sz w:val="24"/>
                <w:lang w:val="en-US"/>
              </w:rPr>
              <w:t>ss plan for 2019, in accordance with Annex 2 to this resolution of the Company's Board of Directors.</w:t>
            </w:r>
          </w:p>
          <w:p w14:paraId="1C5CFA27" w14:textId="77777777" w:rsidR="00776153" w:rsidRPr="00E507AF" w:rsidRDefault="00E507AF" w:rsidP="00776153">
            <w:pPr>
              <w:pStyle w:val="TableParagraph"/>
              <w:numPr>
                <w:ilvl w:val="3"/>
                <w:numId w:val="3"/>
              </w:numPr>
              <w:tabs>
                <w:tab w:val="left" w:pos="99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Note, based on the results of the Company's work for the Q1 2019, the failure to meet the planned indicators in accordance with Annex 3 to this resolution </w:t>
            </w:r>
            <w:r>
              <w:rPr>
                <w:sz w:val="24"/>
                <w:lang w:val="en-US"/>
              </w:rPr>
              <w:t>of the Company's Board of Directors.</w:t>
            </w:r>
          </w:p>
          <w:p w14:paraId="35F57D44" w14:textId="77777777" w:rsidR="00776153" w:rsidRPr="00E507AF" w:rsidRDefault="00E507AF" w:rsidP="0077615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  <w:tab w:val="left" w:pos="99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Entrust the Single Executive Body of the Company with:</w:t>
            </w:r>
          </w:p>
          <w:p w14:paraId="25D35E0A" w14:textId="77777777" w:rsidR="00776153" w:rsidRPr="00E507AF" w:rsidRDefault="00E507AF" w:rsidP="00776153">
            <w:pPr>
              <w:pStyle w:val="TableParagraph"/>
              <w:numPr>
                <w:ilvl w:val="1"/>
                <w:numId w:val="2"/>
              </w:numPr>
              <w:tabs>
                <w:tab w:val="left" w:pos="106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Take measures to ensure the implementation of the business plan for the first 9 months of 2019 in terms of the level of payment for the services provided for </w:t>
            </w:r>
            <w:r>
              <w:rPr>
                <w:sz w:val="24"/>
                <w:lang w:val="en-US"/>
              </w:rPr>
              <w:t>electric power transmission, proceeds from technological connection services for the category of applicants of 670 kW and above, taking into consideration the delay from the plan for the Q1 2019;</w:t>
            </w:r>
          </w:p>
          <w:p w14:paraId="38CB7249" w14:textId="77777777" w:rsidR="00776153" w:rsidRPr="00E507AF" w:rsidRDefault="00E507AF" w:rsidP="00776153">
            <w:pPr>
              <w:pStyle w:val="TableParagraph"/>
              <w:numPr>
                <w:ilvl w:val="1"/>
                <w:numId w:val="2"/>
              </w:numPr>
              <w:tabs>
                <w:tab w:val="left" w:pos="1147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Ensure the achievement of the level of losses envisaged in t</w:t>
            </w:r>
            <w:r>
              <w:rPr>
                <w:sz w:val="24"/>
                <w:lang w:val="en-US"/>
              </w:rPr>
              <w:t>he business plan for 9 months of 2019 in all areas of power networks (0.4-20 kV network);</w:t>
            </w:r>
          </w:p>
          <w:p w14:paraId="6FEC2D63" w14:textId="77777777" w:rsidR="00776153" w:rsidRPr="00E507AF" w:rsidRDefault="00E507AF" w:rsidP="00776153">
            <w:pPr>
              <w:pStyle w:val="TableParagraph"/>
              <w:numPr>
                <w:ilvl w:val="1"/>
                <w:numId w:val="2"/>
              </w:numPr>
              <w:tabs>
                <w:tab w:val="left" w:pos="1013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Ensure the achievement of the planned indicators in terms of the registration of property rights for 9 months of 2019, taking into account the volumes not completed i</w:t>
            </w:r>
            <w:r>
              <w:rPr>
                <w:sz w:val="24"/>
                <w:lang w:val="en-US"/>
              </w:rPr>
              <w:t>n the Q1 2019.</w:t>
            </w:r>
          </w:p>
          <w:p w14:paraId="52962B1F" w14:textId="77777777" w:rsidR="00776153" w:rsidRPr="00E507AF" w:rsidRDefault="00E507AF" w:rsidP="00776153">
            <w:pPr>
              <w:pStyle w:val="TableParagraph"/>
              <w:numPr>
                <w:ilvl w:val="1"/>
                <w:numId w:val="2"/>
              </w:numPr>
              <w:tabs>
                <w:tab w:val="left" w:pos="1152"/>
                <w:tab w:val="left" w:pos="2647"/>
                <w:tab w:val="left" w:pos="7521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Submit for consideration of the Strategy Committee of the Board of Directors a</w:t>
            </w:r>
          </w:p>
          <w:p w14:paraId="66011D59" w14:textId="77777777" w:rsidR="00776153" w:rsidRPr="00E507AF" w:rsidRDefault="00E507AF" w:rsidP="0077615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factor analysis of the dynamics of labor productivity in the 1st half of 2019 as compared to the same period of 2018.</w:t>
            </w:r>
          </w:p>
        </w:tc>
      </w:tr>
      <w:tr w:rsidR="00257D9A" w:rsidRPr="00E507AF" w14:paraId="1A2A0015" w14:textId="77777777" w:rsidTr="00776153">
        <w:trPr>
          <w:trHeight w:val="20"/>
        </w:trPr>
        <w:tc>
          <w:tcPr>
            <w:tcW w:w="5000" w:type="pct"/>
            <w:gridSpan w:val="7"/>
          </w:tcPr>
          <w:p w14:paraId="68943E61" w14:textId="77777777" w:rsidR="00B76FD9" w:rsidRPr="00E507AF" w:rsidRDefault="00E507AF" w:rsidP="00776153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 xml:space="preserve">Insider information disclosure on </w:t>
            </w:r>
            <w:r>
              <w:rPr>
                <w:b/>
                <w:sz w:val="24"/>
                <w:lang w:val="en-US"/>
              </w:rPr>
              <w:t>issue No. 2: On approval of the report on the results of the Company's investment program for Q1 2019.</w:t>
            </w:r>
          </w:p>
        </w:tc>
      </w:tr>
      <w:tr w:rsidR="00257D9A" w:rsidRPr="00E507AF" w14:paraId="58B4EA4E" w14:textId="77777777" w:rsidTr="00776153">
        <w:trPr>
          <w:trHeight w:val="20"/>
        </w:trPr>
        <w:tc>
          <w:tcPr>
            <w:tcW w:w="5000" w:type="pct"/>
            <w:gridSpan w:val="7"/>
          </w:tcPr>
          <w:p w14:paraId="5851EE3C" w14:textId="77777777" w:rsidR="00B76FD9" w:rsidRPr="00E507AF" w:rsidRDefault="00E507AF" w:rsidP="0077615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2.2.2. Resolution content adopted by the Issuer's Board of Directors:</w:t>
            </w:r>
          </w:p>
          <w:p w14:paraId="5A2D4E02" w14:textId="77777777" w:rsidR="00B76FD9" w:rsidRPr="00E507AF" w:rsidRDefault="00E507AF" w:rsidP="0077615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Take into consideration the report on results of implementation of the investment </w:t>
            </w:r>
            <w:r>
              <w:rPr>
                <w:sz w:val="24"/>
                <w:lang w:val="en-US"/>
              </w:rPr>
              <w:t>program of</w:t>
            </w:r>
          </w:p>
          <w:p w14:paraId="1716973E" w14:textId="77777777" w:rsidR="00B76FD9" w:rsidRPr="00E507AF" w:rsidRDefault="00E507AF" w:rsidP="0077615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IDGC of the South, PJSC for Q1 2019 according to Annex No. 4 to this resolution of the Company's Board of Directors.</w:t>
            </w:r>
          </w:p>
        </w:tc>
      </w:tr>
      <w:tr w:rsidR="00257D9A" w:rsidRPr="00E507AF" w14:paraId="68917A9D" w14:textId="77777777" w:rsidTr="00776153">
        <w:trPr>
          <w:trHeight w:val="20"/>
        </w:trPr>
        <w:tc>
          <w:tcPr>
            <w:tcW w:w="5000" w:type="pct"/>
            <w:gridSpan w:val="7"/>
          </w:tcPr>
          <w:p w14:paraId="2F8DA8CD" w14:textId="77777777" w:rsidR="00B76FD9" w:rsidRPr="00E507AF" w:rsidRDefault="00E507AF" w:rsidP="00776153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3: On consideration of the report on acquisition of the electric power industry obj</w:t>
            </w:r>
            <w:r>
              <w:rPr>
                <w:b/>
                <w:sz w:val="24"/>
                <w:lang w:val="en-US"/>
              </w:rPr>
              <w:t>ects, approval of which is not required by the Board of Directors, for the Q1 2019.</w:t>
            </w:r>
          </w:p>
        </w:tc>
      </w:tr>
      <w:tr w:rsidR="00257D9A" w:rsidRPr="00E507AF" w14:paraId="1E6B3965" w14:textId="77777777" w:rsidTr="00776153">
        <w:trPr>
          <w:trHeight w:val="20"/>
        </w:trPr>
        <w:tc>
          <w:tcPr>
            <w:tcW w:w="5000" w:type="pct"/>
            <w:gridSpan w:val="7"/>
          </w:tcPr>
          <w:p w14:paraId="3019D771" w14:textId="77777777" w:rsidR="00B76FD9" w:rsidRPr="00E507AF" w:rsidRDefault="00E507AF" w:rsidP="0077615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2.2.3. Resolution content adopted by the Issuer's Board of Directors:</w:t>
            </w:r>
          </w:p>
          <w:p w14:paraId="6A6ACDEF" w14:textId="77777777" w:rsidR="00B76FD9" w:rsidRPr="00E507AF" w:rsidRDefault="00E507AF" w:rsidP="0077615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Take into consideration the report on the acquisition of electric power industry facilities, the appr</w:t>
            </w:r>
            <w:r>
              <w:rPr>
                <w:sz w:val="24"/>
                <w:lang w:val="en-US"/>
              </w:rPr>
              <w:t>oval of which is not required by the Board of Directors, and on the compliance of the completed transaction with the Criteria for decision-making on projects for the consolidation of electric grid assets for the Q2 2019 in accordance with Annex No. 5 to th</w:t>
            </w:r>
            <w:r>
              <w:rPr>
                <w:sz w:val="24"/>
                <w:lang w:val="en-US"/>
              </w:rPr>
              <w:t>is resolution of the Company's Board of Directors.</w:t>
            </w:r>
          </w:p>
        </w:tc>
      </w:tr>
      <w:tr w:rsidR="00257D9A" w:rsidRPr="00E507AF" w14:paraId="3BB298B9" w14:textId="77777777" w:rsidTr="00343E64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12859CEE" w14:textId="77777777" w:rsidR="00B76FD9" w:rsidRPr="00E507AF" w:rsidRDefault="00E507AF" w:rsidP="00776153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August 23, 2019.</w:t>
            </w:r>
          </w:p>
          <w:p w14:paraId="2AE203A5" w14:textId="77777777" w:rsidR="00B76FD9" w:rsidRPr="00E507AF" w:rsidRDefault="00E507AF" w:rsidP="00776153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August 26, 2019, Minutes No. 330/2019.</w:t>
            </w:r>
          </w:p>
        </w:tc>
      </w:tr>
      <w:tr w:rsidR="00257D9A" w14:paraId="20209C42" w14:textId="77777777" w:rsidTr="00343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9CB7F" w14:textId="77777777" w:rsidR="00776153" w:rsidRDefault="00E507AF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257D9A" w14:paraId="666750A0" w14:textId="77777777" w:rsidTr="00343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E1750A4" w14:textId="77777777" w:rsidR="00776153" w:rsidRPr="00E507AF" w:rsidRDefault="00E507AF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</w:t>
            </w:r>
            <w:r>
              <w:rPr>
                <w:sz w:val="24"/>
                <w:lang w:val="en-US"/>
              </w:rPr>
              <w:t>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7F7D740C" w14:textId="77777777" w:rsidR="00776153" w:rsidRPr="00E507AF" w:rsidRDefault="00E507AF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0AD9F3B6" w14:textId="77777777" w:rsidR="00776153" w:rsidRDefault="00E507AF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257D9A" w14:paraId="6F113BC1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248CFD38" w14:textId="77777777" w:rsidR="00776153" w:rsidRDefault="00E507AF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4FDB00D2" w14:textId="5038FDDC" w:rsidR="00776153" w:rsidRDefault="00E507AF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1FBB49F7" w14:textId="77777777" w:rsidR="00776153" w:rsidRDefault="00E507AF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257D9A" w14:paraId="0A9A84EF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032E4FB5" w14:textId="77777777" w:rsidR="00776153" w:rsidRDefault="00E507AF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22B47825" w14:textId="77777777" w:rsidR="00776153" w:rsidRPr="00F33787" w:rsidRDefault="00E507AF" w:rsidP="00776153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August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0071EF6D" w14:textId="77777777" w:rsidR="00776153" w:rsidRPr="00F33787" w:rsidRDefault="00E507AF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DFAD3C2" w14:textId="77777777" w:rsidR="00776153" w:rsidRPr="00F33787" w:rsidRDefault="00E507AF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4EA806E" w14:textId="77777777" w:rsidR="00776153" w:rsidRDefault="00E507AF" w:rsidP="00776153"/>
    <w:sectPr w:rsidR="00776153" w:rsidSect="00776153">
      <w:headerReference w:type="default" r:id="rId10"/>
      <w:pgSz w:w="11910" w:h="16850"/>
      <w:pgMar w:top="709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63BE" w14:textId="77777777" w:rsidR="00000000" w:rsidRDefault="00E507AF">
      <w:r>
        <w:separator/>
      </w:r>
    </w:p>
  </w:endnote>
  <w:endnote w:type="continuationSeparator" w:id="0">
    <w:p w14:paraId="2C23BA55" w14:textId="77777777" w:rsidR="00000000" w:rsidRDefault="00E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D59E" w14:textId="77777777" w:rsidR="00000000" w:rsidRDefault="00E507AF">
      <w:r>
        <w:separator/>
      </w:r>
    </w:p>
  </w:footnote>
  <w:footnote w:type="continuationSeparator" w:id="0">
    <w:p w14:paraId="660E2B0A" w14:textId="77777777" w:rsidR="00000000" w:rsidRDefault="00E5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CA52" w14:textId="77777777" w:rsidR="00B76FD9" w:rsidRDefault="00E507AF" w:rsidP="0077615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329658E" w14:textId="77777777" w:rsidR="00776153" w:rsidRPr="00776153" w:rsidRDefault="00E507AF" w:rsidP="0077615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4C2"/>
    <w:multiLevelType w:val="multilevel"/>
    <w:tmpl w:val="AF7007BC"/>
    <w:lvl w:ilvl="0">
      <w:start w:val="2"/>
      <w:numFmt w:val="decimal"/>
      <w:lvlText w:val="%1"/>
      <w:lvlJc w:val="left"/>
      <w:pPr>
        <w:ind w:left="1156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56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56" w:hanging="6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4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83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6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8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22C528B9"/>
    <w:multiLevelType w:val="multilevel"/>
    <w:tmpl w:val="39FA9AB2"/>
    <w:lvl w:ilvl="0">
      <w:start w:val="4"/>
      <w:numFmt w:val="decimal"/>
      <w:lvlText w:val="%1."/>
      <w:lvlJc w:val="left"/>
      <w:pPr>
        <w:ind w:left="995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" w:hanging="4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58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5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3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2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1" w:hanging="473"/>
      </w:pPr>
      <w:rPr>
        <w:rFonts w:hint="default"/>
        <w:lang w:val="ru-RU" w:eastAsia="ru-RU" w:bidi="ru-RU"/>
      </w:rPr>
    </w:lvl>
  </w:abstractNum>
  <w:abstractNum w:abstractNumId="2" w15:restartNumberingAfterBreak="0">
    <w:nsid w:val="545C1CD6"/>
    <w:multiLevelType w:val="multilevel"/>
    <w:tmpl w:val="116C9BE6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1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D9A"/>
    <w:rsid w:val="00257D9A"/>
    <w:rsid w:val="00E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EFFE"/>
  <w15:docId w15:val="{03352A58-8BE8-4852-86A8-3F2F7E6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FD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7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FD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76FD9"/>
  </w:style>
  <w:style w:type="paragraph" w:customStyle="1" w:styleId="TableParagraph">
    <w:name w:val="Table Paragraph"/>
    <w:basedOn w:val="a"/>
    <w:uiPriority w:val="1"/>
    <w:qFormat/>
    <w:rsid w:val="00B76FD9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77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15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7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15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5</cp:revision>
  <dcterms:created xsi:type="dcterms:W3CDTF">2019-12-29T09:19:00Z</dcterms:created>
  <dcterms:modified xsi:type="dcterms:W3CDTF">2020-01-20T13:33:00Z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